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6BA" w:rsidRDefault="00274535" w:rsidP="005E06BA">
      <w:pPr>
        <w:tabs>
          <w:tab w:val="left" w:pos="1560"/>
        </w:tabs>
        <w:ind w:left="426"/>
        <w:jc w:val="center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435"/>
        <w:gridCol w:w="4365"/>
      </w:tblGrid>
      <w:tr w:rsidR="005E06BA" w:rsidRPr="005E06BA" w:rsidTr="005E06BA">
        <w:trPr>
          <w:trHeight w:val="1275"/>
        </w:trPr>
        <w:tc>
          <w:tcPr>
            <w:tcW w:w="4406" w:type="dxa"/>
            <w:tcBorders>
              <w:bottom w:val="double" w:sz="1" w:space="0" w:color="000000"/>
            </w:tcBorders>
            <w:shd w:val="clear" w:color="auto" w:fill="auto"/>
          </w:tcPr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  АУЫЛ  БИЛ</w:t>
            </w:r>
            <w:r w:rsidRPr="005E06BA">
              <w:rPr>
                <w:rFonts w:ascii="Times New Roman" w:eastAsia="Times New Roman" w:hAnsi="Times New Roman" w:cs="Arial"/>
                <w:b/>
                <w:color w:val="auto"/>
                <w:sz w:val="20"/>
                <w:szCs w:val="20"/>
                <w:lang w:eastAsia="ar-SA"/>
              </w:rPr>
              <w:t>Ә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М</w:t>
            </w:r>
            <w:r w:rsidRPr="005E06BA">
              <w:rPr>
                <w:rFonts w:ascii="Times New Roman" w:eastAsia="Times New Roman" w:hAnsi="Times New Roman" w:cs="Arial"/>
                <w:b/>
                <w:color w:val="auto"/>
                <w:sz w:val="20"/>
                <w:szCs w:val="20"/>
                <w:lang w:eastAsia="ar-SA"/>
              </w:rPr>
              <w:t>Ә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  <w:t>h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Е ХАКИМИ</w:t>
            </w:r>
            <w:r w:rsidRPr="005E06BA">
              <w:rPr>
                <w:rFonts w:ascii="Times New Roman" w:eastAsia="Times New Roman" w:hAnsi="Times New Roman" w:cs="Arial"/>
                <w:b/>
                <w:color w:val="auto"/>
                <w:sz w:val="20"/>
                <w:szCs w:val="20"/>
                <w:lang w:eastAsia="ar-SA"/>
              </w:rPr>
              <w:t>Ә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ТЕ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Bashkort" w:eastAsia="Times New Roman" w:hAnsi="Bashkort" w:cs="Times New Roman"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ТУ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  <w:t>F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АЙ АУЫЛ СОВЕТЫ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МУНИЦИПАЛЬ РАЙОНЫНЫ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БЛАГОВЕЩЕН РАЙОНЫ 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БАШКОРТОСТАН РЕСПУБЛИКА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  <w:t>h</w:t>
            </w:r>
            <w:r w:rsidRPr="005E06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Ы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Bashkort" w:eastAsia="Times New Roman" w:hAnsi="Bashkort" w:cs="Times New Roman"/>
                <w:bCs/>
                <w:color w:val="auto"/>
                <w:sz w:val="20"/>
                <w:szCs w:val="20"/>
                <w:lang w:eastAsia="ar-SA"/>
              </w:rPr>
            </w:pPr>
          </w:p>
          <w:p w:rsidR="005E06BA" w:rsidRPr="005E06BA" w:rsidRDefault="005E06BA" w:rsidP="005E06BA">
            <w:pPr>
              <w:suppressAutoHyphens/>
              <w:jc w:val="center"/>
              <w:rPr>
                <w:rFonts w:ascii="Bashkort" w:eastAsia="Times New Roman" w:hAnsi="Bashkort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5E06BA" w:rsidRPr="005E06BA" w:rsidRDefault="005E06BA" w:rsidP="005E06BA">
            <w:pPr>
              <w:suppressAutoHyphens/>
              <w:snapToGrid w:val="0"/>
              <w:jc w:val="center"/>
              <w:rPr>
                <w:rFonts w:ascii="Bashkort" w:eastAsia="Times New Roman" w:hAnsi="Bashkort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5.5pt;height:59.25pt" o:ole="" filled="t">
                  <v:fill color2="black"/>
                  <v:imagedata r:id="rId8" o:title=""/>
                </v:shape>
                <o:OLEObject Type="Embed" ProgID="Word.Picture.8" ShapeID="_x0000_i1031" DrawAspect="Content" ObjectID="_1742132960" r:id="rId9"/>
              </w:object>
            </w:r>
          </w:p>
        </w:tc>
        <w:tc>
          <w:tcPr>
            <w:tcW w:w="4365" w:type="dxa"/>
            <w:tcBorders>
              <w:bottom w:val="double" w:sz="1" w:space="0" w:color="000000"/>
            </w:tcBorders>
            <w:shd w:val="clear" w:color="auto" w:fill="auto"/>
          </w:tcPr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ТУГАЙСКИЙ СЕЛЬСОВЕТ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МУНИЦИПАЛЬНОГО РАЙОНА 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БЛАГОВЕЩЕНСКИЙ РАЙОН 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РЕСПУБЛИКИ  БАШКОРТОСТАН</w:t>
            </w:r>
          </w:p>
          <w:p w:rsidR="005E06BA" w:rsidRPr="005E06BA" w:rsidRDefault="005E06BA" w:rsidP="005E06BA">
            <w:pPr>
              <w:suppressAutoHyphens/>
              <w:jc w:val="center"/>
              <w:rPr>
                <w:rFonts w:ascii="Bashkort" w:eastAsia="Times New Roman" w:hAnsi="Bashkort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5E06BA" w:rsidRPr="005E06BA" w:rsidRDefault="005E06BA" w:rsidP="005E06BA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КАРАР                                                            ПОСТАНОВЛЕНИЕ</w:t>
      </w:r>
    </w:p>
    <w:p w:rsidR="005E06BA" w:rsidRPr="005E06BA" w:rsidRDefault="005E06BA" w:rsidP="005E06BA">
      <w:pPr>
        <w:tabs>
          <w:tab w:val="left" w:pos="564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10 апрель 2023 й.                        №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10 апреля 2023 г.  </w:t>
      </w:r>
    </w:p>
    <w:p w:rsidR="005E06BA" w:rsidRPr="005E06BA" w:rsidRDefault="005E06BA" w:rsidP="005E06B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06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11C63" w:rsidRPr="0003152A" w:rsidRDefault="00D1796C" w:rsidP="005E06BA">
      <w:pPr>
        <w:pStyle w:val="a9"/>
        <w:tabs>
          <w:tab w:val="left" w:pos="1560"/>
        </w:tabs>
        <w:ind w:left="426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казначейского сопровождения </w:t>
      </w:r>
      <w:r w:rsidR="00930F55" w:rsidRPr="00930F55">
        <w:rPr>
          <w:rFonts w:ascii="Times New Roman" w:hAnsi="Times New Roman" w:cs="Times New Roman"/>
          <w:b/>
          <w:sz w:val="27"/>
          <w:szCs w:val="27"/>
        </w:rPr>
        <w:t>целевых средств</w:t>
      </w:r>
      <w:r w:rsidRPr="00930F55">
        <w:rPr>
          <w:rFonts w:ascii="Times New Roman" w:hAnsi="Times New Roman" w:cs="Times New Roman"/>
          <w:b/>
          <w:sz w:val="28"/>
          <w:szCs w:val="28"/>
        </w:rPr>
        <w:t>,</w:t>
      </w:r>
      <w:r w:rsidRPr="0003152A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</w:t>
      </w:r>
      <w:bookmarkEnd w:id="0"/>
      <w:r w:rsidR="005E06BA">
        <w:rPr>
          <w:rFonts w:ascii="Times New Roman" w:hAnsi="Times New Roman" w:cs="Times New Roman"/>
          <w:b/>
          <w:sz w:val="28"/>
          <w:szCs w:val="28"/>
        </w:rPr>
        <w:t>с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274535">
        <w:rPr>
          <w:rFonts w:ascii="Times New Roman" w:hAnsi="Times New Roman" w:cs="Times New Roman"/>
          <w:b/>
          <w:sz w:val="28"/>
          <w:szCs w:val="28"/>
        </w:rPr>
        <w:t xml:space="preserve">Тугайский </w:t>
      </w:r>
      <w:r w:rsidR="0003152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03152A" w:rsidRPr="0003152A" w:rsidRDefault="0003152A" w:rsidP="005E06BA">
      <w:pPr>
        <w:pStyle w:val="a9"/>
        <w:tabs>
          <w:tab w:val="left" w:pos="1560"/>
        </w:tabs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>
        <w:t xml:space="preserve">В соответствии с пунктом 5 статьи 242.23 Бюджетного кодекса Российской Федерации, </w:t>
      </w:r>
      <w:r w:rsidR="0003152A">
        <w:t>постановлением</w:t>
      </w:r>
      <w: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сельского поселения</w:t>
      </w:r>
      <w:r w:rsidR="0003152A">
        <w:t xml:space="preserve"> </w:t>
      </w:r>
      <w:r w:rsidR="00274535">
        <w:t>Тугайский</w:t>
      </w:r>
      <w:r w:rsidR="0003152A"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 w:rsidRPr="0003152A">
        <w:rPr>
          <w:rStyle w:val="3pt"/>
          <w:b/>
        </w:rPr>
        <w:t>постановляю:</w:t>
      </w:r>
    </w:p>
    <w:p w:rsidR="00BE179B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03152A">
        <w:t xml:space="preserve">сельского поселения </w:t>
      </w:r>
      <w:r w:rsidR="00274535">
        <w:t>Тугайский</w:t>
      </w:r>
      <w:r w:rsidR="0003152A">
        <w:t xml:space="preserve"> сельсовет муниципального района Благовещенский район Республики Башкортостан </w:t>
      </w:r>
      <w:r>
        <w:t>(прилагается).</w:t>
      </w:r>
    </w:p>
    <w:p w:rsidR="0003152A" w:rsidRPr="000315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5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274535">
        <w:rPr>
          <w:rFonts w:ascii="Times New Roman" w:hAnsi="Times New Roman" w:cs="Times New Roman"/>
          <w:sz w:val="28"/>
          <w:szCs w:val="28"/>
        </w:rPr>
        <w:t xml:space="preserve">Тугайский </w:t>
      </w:r>
      <w:r w:rsidRPr="0003152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3152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Default="00811C63" w:rsidP="0003152A">
      <w:pPr>
        <w:tabs>
          <w:tab w:val="left" w:pos="1560"/>
        </w:tabs>
        <w:ind w:left="426" w:firstLine="708"/>
        <w:jc w:val="center"/>
        <w:rPr>
          <w:sz w:val="0"/>
          <w:szCs w:val="0"/>
        </w:rPr>
      </w:pPr>
    </w:p>
    <w:p w:rsidR="00811C63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</w:t>
      </w:r>
      <w:r w:rsidR="0003152A">
        <w:t>3</w:t>
      </w:r>
      <w:r w:rsidR="00021375">
        <w:t xml:space="preserve"> года.</w:t>
      </w:r>
    </w:p>
    <w:p w:rsidR="00021375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0315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>
        <w:t xml:space="preserve">Глава сельского поселения                                     </w:t>
      </w:r>
      <w:r w:rsidR="0003152A">
        <w:t xml:space="preserve">                          </w:t>
      </w:r>
      <w:r>
        <w:t xml:space="preserve">       </w:t>
      </w:r>
      <w:r w:rsidR="005E06BA">
        <w:t>А.Н.Мартемьянов</w:t>
      </w: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br/>
      </w:r>
    </w:p>
    <w:p w:rsidR="00021375" w:rsidRDefault="00021375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274535" w:rsidRDefault="00274535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06BA" w:rsidRDefault="005E06BA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06BA" w:rsidRDefault="005E06BA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E06BA" w:rsidRPr="000F7EE6" w:rsidRDefault="005E06BA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74535">
        <w:rPr>
          <w:rFonts w:ascii="Times New Roman" w:hAnsi="Times New Roman" w:cs="Times New Roman"/>
          <w:sz w:val="20"/>
          <w:szCs w:val="20"/>
        </w:rPr>
        <w:t>Тугайский</w:t>
      </w:r>
      <w:r w:rsidR="0003152A" w:rsidRPr="000F7EE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5E06BA">
        <w:rPr>
          <w:rFonts w:ascii="Times New Roman" w:hAnsi="Times New Roman" w:cs="Times New Roman"/>
          <w:sz w:val="20"/>
          <w:szCs w:val="20"/>
        </w:rPr>
        <w:t>10 апреля 2023 г.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5E06BA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>ПОРЯДОК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 xml:space="preserve">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</w:p>
    <w:p w:rsidR="00811C63" w:rsidRPr="000F7EE6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Настоящий </w:t>
      </w:r>
      <w:r w:rsidR="00D1796C" w:rsidRPr="000F7EE6">
        <w:rPr>
          <w:sz w:val="27"/>
          <w:szCs w:val="27"/>
        </w:rPr>
        <w:t xml:space="preserve">Порядок 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0F7EE6">
        <w:rPr>
          <w:sz w:val="27"/>
          <w:szCs w:val="27"/>
        </w:rPr>
        <w:t>органом</w:t>
      </w:r>
      <w:r w:rsidR="00D1796C" w:rsidRPr="000F7EE6">
        <w:rPr>
          <w:sz w:val="27"/>
          <w:szCs w:val="27"/>
        </w:rPr>
        <w:t xml:space="preserve"> администрации </w:t>
      </w:r>
      <w:r w:rsidR="000F7EE6" w:rsidRPr="000F7EE6">
        <w:rPr>
          <w:sz w:val="27"/>
          <w:szCs w:val="27"/>
        </w:rPr>
        <w:t xml:space="preserve">сельского поселения </w:t>
      </w:r>
      <w:bookmarkStart w:id="1" w:name="_Hlk129706227"/>
      <w:r w:rsidR="00274535">
        <w:rPr>
          <w:sz w:val="27"/>
          <w:szCs w:val="27"/>
        </w:rPr>
        <w:t>Тугайский</w:t>
      </w:r>
      <w:r w:rsidR="000F7EE6" w:rsidRPr="000F7EE6">
        <w:rPr>
          <w:sz w:val="27"/>
          <w:szCs w:val="27"/>
        </w:rPr>
        <w:t xml:space="preserve"> </w:t>
      </w:r>
      <w:bookmarkEnd w:id="1"/>
      <w:r w:rsidR="000F7EE6" w:rsidRPr="000F7EE6">
        <w:rPr>
          <w:sz w:val="27"/>
          <w:szCs w:val="27"/>
        </w:rPr>
        <w:t xml:space="preserve">сельсовет муниципального района Благовещенский район Республики Башкортостан </w:t>
      </w:r>
      <w:r w:rsidRPr="000F7EE6">
        <w:rPr>
          <w:sz w:val="27"/>
          <w:szCs w:val="27"/>
        </w:rPr>
        <w:t>(далее - финансовый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орган</w:t>
      </w:r>
      <w:r w:rsidR="00D1796C" w:rsidRPr="000F7EE6">
        <w:rPr>
          <w:sz w:val="27"/>
          <w:szCs w:val="27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274535" w:rsidRPr="000F7EE6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муниципальных</w:t>
      </w:r>
      <w:r w:rsidR="00D1796C" w:rsidRPr="000F7EE6">
        <w:rPr>
          <w:sz w:val="27"/>
          <w:szCs w:val="27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д</w:t>
      </w:r>
      <w:r w:rsidR="002122A7" w:rsidRPr="000F7EE6">
        <w:rPr>
          <w:sz w:val="27"/>
          <w:szCs w:val="27"/>
        </w:rPr>
        <w:t xml:space="preserve">оговоров </w:t>
      </w:r>
      <w:r w:rsidR="00D1796C" w:rsidRPr="000F7EE6">
        <w:rPr>
          <w:sz w:val="27"/>
          <w:szCs w:val="27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исполнения</w:t>
      </w:r>
      <w:r w:rsidR="00D1796C" w:rsidRPr="000F7EE6">
        <w:rPr>
          <w:sz w:val="27"/>
          <w:szCs w:val="27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контрактов </w:t>
      </w:r>
      <w:r w:rsidR="00D1796C" w:rsidRPr="000F7EE6">
        <w:rPr>
          <w:sz w:val="27"/>
          <w:szCs w:val="27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Положения Порядка распространяются: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</w:t>
      </w:r>
      <w:r w:rsidR="0094528B" w:rsidRPr="000F7EE6">
        <w:rPr>
          <w:sz w:val="27"/>
          <w:szCs w:val="27"/>
        </w:rPr>
        <w:t xml:space="preserve">едоставляемых на основании таких </w:t>
      </w:r>
      <w:r w:rsidRPr="000F7EE6">
        <w:rPr>
          <w:sz w:val="27"/>
          <w:szCs w:val="27"/>
        </w:rPr>
        <w:t>соглашений;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Pr="000F7EE6">
        <w:rPr>
          <w:sz w:val="27"/>
          <w:szCs w:val="27"/>
        </w:rPr>
        <w:t xml:space="preserve">, в установленном </w:t>
      </w:r>
      <w:r w:rsidR="00887F1B" w:rsidRPr="000F7EE6">
        <w:rPr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274535" w:rsidRPr="000F7EE6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887F1B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 xml:space="preserve">санкционирования расходов в порядке, установленном </w:t>
      </w:r>
      <w:r w:rsidR="00887F1B" w:rsidRPr="000F7EE6">
        <w:rPr>
          <w:rFonts w:hint="eastAsia"/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274535" w:rsidRPr="000F7EE6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 xml:space="preserve">сельсовет муниципального района Благовещенский район Республики Башкортостан </w:t>
      </w:r>
      <w:r w:rsidR="00887F1B" w:rsidRPr="000F7EE6">
        <w:rPr>
          <w:sz w:val="27"/>
          <w:szCs w:val="27"/>
        </w:rPr>
        <w:t>порядке</w:t>
      </w:r>
      <w:r w:rsidRPr="000F7EE6">
        <w:rPr>
          <w:sz w:val="27"/>
          <w:szCs w:val="27"/>
        </w:rPr>
        <w:t>, в соответствии с пунктом 5 статьи 242.23 БК РФ (далее - порядок санкционирования).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0F7EE6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 xml:space="preserve">открытии участнику казначейского сопровождения лицевого счета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="00D1796C" w:rsidRPr="000F7EE6">
        <w:rPr>
          <w:sz w:val="27"/>
          <w:szCs w:val="27"/>
        </w:rPr>
        <w:t>;</w:t>
      </w:r>
    </w:p>
    <w:p w:rsidR="00811C63" w:rsidRPr="000F7EE6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 xml:space="preserve">представлении в </w:t>
      </w:r>
      <w:r w:rsidR="00887F1B" w:rsidRPr="000F7EE6">
        <w:rPr>
          <w:rFonts w:hint="eastAsia"/>
          <w:sz w:val="27"/>
          <w:szCs w:val="27"/>
        </w:rPr>
        <w:t>финансовый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иные </w:t>
      </w:r>
      <w:r w:rsidR="00D1796C" w:rsidRPr="000F7EE6">
        <w:rPr>
          <w:sz w:val="27"/>
          <w:szCs w:val="27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0F7EE6">
        <w:rPr>
          <w:sz w:val="27"/>
          <w:szCs w:val="27"/>
        </w:rPr>
        <w:t>Республики Башкортостан</w:t>
      </w:r>
      <w:r w:rsidR="00D1796C" w:rsidRPr="000F7EE6">
        <w:rPr>
          <w:sz w:val="27"/>
          <w:szCs w:val="27"/>
        </w:rPr>
        <w:t xml:space="preserve">,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274535">
        <w:rPr>
          <w:sz w:val="27"/>
          <w:szCs w:val="27"/>
        </w:rPr>
        <w:t>Тугайский</w:t>
      </w:r>
      <w:r w:rsidR="00274535" w:rsidRPr="000F7EE6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="00D1796C" w:rsidRPr="000F7EE6">
        <w:rPr>
          <w:sz w:val="27"/>
          <w:szCs w:val="27"/>
        </w:rPr>
        <w:t>.</w:t>
      </w:r>
    </w:p>
    <w:p w:rsidR="00811C63" w:rsidRPr="000F7EE6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При </w:t>
      </w:r>
      <w:r w:rsidR="00D1796C" w:rsidRPr="000F7EE6">
        <w:rPr>
          <w:sz w:val="27"/>
          <w:szCs w:val="27"/>
        </w:rPr>
        <w:t xml:space="preserve">казначейском сопровождении обмен документами между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D1796C" w:rsidRPr="000F7EE6">
        <w:rPr>
          <w:sz w:val="27"/>
          <w:szCs w:val="27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0F7EE6">
        <w:rPr>
          <w:sz w:val="27"/>
          <w:szCs w:val="27"/>
        </w:rPr>
        <w:t>Воронежской области</w:t>
      </w:r>
      <w:r w:rsidR="00D1796C" w:rsidRPr="000F7EE6">
        <w:rPr>
          <w:sz w:val="27"/>
          <w:szCs w:val="27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0F7EE6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Финансовой</w:t>
      </w:r>
      <w:r w:rsidRPr="000F7EE6">
        <w:rPr>
          <w:rFonts w:hint="eastAsia"/>
          <w:sz w:val="27"/>
          <w:szCs w:val="27"/>
        </w:rPr>
        <w:t xml:space="preserve"> орган</w:t>
      </w:r>
      <w:r w:rsidR="00D1796C" w:rsidRPr="000F7EE6">
        <w:rPr>
          <w:sz w:val="27"/>
          <w:szCs w:val="27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0F7EE6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rFonts w:hint="eastAsia"/>
          <w:sz w:val="27"/>
          <w:szCs w:val="27"/>
        </w:rPr>
        <w:t>Ф</w:t>
      </w:r>
      <w:r w:rsidR="00887F1B" w:rsidRPr="000F7EE6">
        <w:rPr>
          <w:rFonts w:hint="eastAsia"/>
          <w:sz w:val="27"/>
          <w:szCs w:val="27"/>
        </w:rPr>
        <w:t>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0F7EE6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7"/>
          <w:szCs w:val="27"/>
        </w:rPr>
      </w:pPr>
    </w:p>
    <w:sectPr w:rsidR="00811C63" w:rsidRPr="000F7EE6" w:rsidSect="0003152A">
      <w:footerReference w:type="default" r:id="rId10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123" w:rsidRDefault="00320123">
      <w:r>
        <w:separator/>
      </w:r>
    </w:p>
  </w:endnote>
  <w:endnote w:type="continuationSeparator" w:id="0">
    <w:p w:rsidR="00320123" w:rsidRDefault="0032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123" w:rsidRDefault="00320123"/>
  </w:footnote>
  <w:footnote w:type="continuationSeparator" w:id="0">
    <w:p w:rsidR="00320123" w:rsidRDefault="003201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471495">
    <w:abstractNumId w:val="5"/>
  </w:num>
  <w:num w:numId="2" w16cid:durableId="1286036799">
    <w:abstractNumId w:val="3"/>
  </w:num>
  <w:num w:numId="3" w16cid:durableId="1755398367">
    <w:abstractNumId w:val="1"/>
  </w:num>
  <w:num w:numId="4" w16cid:durableId="65610864">
    <w:abstractNumId w:val="7"/>
  </w:num>
  <w:num w:numId="5" w16cid:durableId="768310335">
    <w:abstractNumId w:val="0"/>
  </w:num>
  <w:num w:numId="6" w16cid:durableId="1979022422">
    <w:abstractNumId w:val="4"/>
  </w:num>
  <w:num w:numId="7" w16cid:durableId="1927807850">
    <w:abstractNumId w:val="6"/>
  </w:num>
  <w:num w:numId="8" w16cid:durableId="55693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63"/>
    <w:rsid w:val="00021375"/>
    <w:rsid w:val="000249A2"/>
    <w:rsid w:val="0003152A"/>
    <w:rsid w:val="00034A75"/>
    <w:rsid w:val="000D0C52"/>
    <w:rsid w:val="000F7EE6"/>
    <w:rsid w:val="002122A7"/>
    <w:rsid w:val="00266C89"/>
    <w:rsid w:val="00274535"/>
    <w:rsid w:val="00320123"/>
    <w:rsid w:val="00326D68"/>
    <w:rsid w:val="00394B87"/>
    <w:rsid w:val="00516818"/>
    <w:rsid w:val="00551110"/>
    <w:rsid w:val="005A3657"/>
    <w:rsid w:val="005C584D"/>
    <w:rsid w:val="005E06BA"/>
    <w:rsid w:val="006F0E0F"/>
    <w:rsid w:val="007A69F2"/>
    <w:rsid w:val="00811C63"/>
    <w:rsid w:val="00887F1B"/>
    <w:rsid w:val="00930F55"/>
    <w:rsid w:val="0094528B"/>
    <w:rsid w:val="00A17F82"/>
    <w:rsid w:val="00BA67B9"/>
    <w:rsid w:val="00BE179B"/>
    <w:rsid w:val="00C967D0"/>
    <w:rsid w:val="00D0688C"/>
    <w:rsid w:val="00D16BFC"/>
    <w:rsid w:val="00D1796C"/>
    <w:rsid w:val="00EE749A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3EFD"/>
  <w15:docId w15:val="{33D6AB1C-B455-4D44-BFEA-2674FDB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BD64-41E2-4426-92D8-CE3FDCD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Диана Абибуллаева</cp:lastModifiedBy>
  <cp:revision>12</cp:revision>
  <cp:lastPrinted>2023-03-14T12:10:00Z</cp:lastPrinted>
  <dcterms:created xsi:type="dcterms:W3CDTF">2022-03-03T12:42:00Z</dcterms:created>
  <dcterms:modified xsi:type="dcterms:W3CDTF">2023-04-04T12:02:00Z</dcterms:modified>
</cp:coreProperties>
</file>