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ind w:hanging="425"/>
        <w:jc w:val="center"/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статистике с наступлением осенне-зимнего пожароопасного периода наблюдается рост числа пожаров и гибели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них людей. 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первый день осени</w:t>
      </w:r>
      <w:r>
        <w:rPr>
          <w:rFonts w:ascii="Times New Roman" w:hAnsi="Times New Roman" w:cs="Times New Roman"/>
          <w:sz w:val="28"/>
          <w:szCs w:val="28"/>
        </w:rPr>
        <w:t xml:space="preserve"> на пожарах в республике погибло </w:t>
      </w:r>
      <w:r>
        <w:rPr>
          <w:rFonts w:ascii="Times New Roman" w:hAnsi="Times New Roman" w:cs="Times New Roman"/>
          <w:b/>
          <w:sz w:val="28"/>
          <w:szCs w:val="28"/>
        </w:rPr>
        <w:t xml:space="preserve">5 человек. 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Одними из самых распространенных причин является нарушение правил устройства и эксплуатации электрооборудования, электронагревательных приборов и печей, а также неосторожное обращение с огнем при курении.</w:t>
      </w:r>
      <w:r>
        <w:rPr>
          <w:b/>
        </w:rPr>
      </w:r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Так за 1 сентября 2021 года произошли пожары с гибелью людей, в том числе 1 ребенок 2017 года рождения: Белокатайский район с.Ногуши; Бурзянский рйон с.Старосубхангулово; Альшеевский район д.Идрисова; Куюргазинский район д. Тимирбаево; ГО г.Салават.</w:t>
      </w:r>
      <w:r>
        <w:rPr>
          <w:rFonts w:ascii="Times New Roman" w:hAnsi="Times New Roman" w:cs="Times New Roman"/>
          <w:b w:val="false"/>
          <w:sz w:val="28"/>
          <w:szCs w:val="28"/>
        </w:rPr>
      </w:r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Всег</w:t>
      </w:r>
      <w:r>
        <w:rPr>
          <w:rFonts w:ascii="Times New Roman" w:hAnsi="Times New Roman" w:cs="Times New Roman"/>
          <w:sz w:val="28"/>
          <w:szCs w:val="28"/>
        </w:rPr>
        <w:t xml:space="preserve">о на сегодняшний день в республике произошло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8175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пожаров, при которых погиб </w:t>
      </w:r>
      <w:r>
        <w:rPr>
          <w:rFonts w:ascii="Times New Roman" w:hAnsi="Times New Roman" w:cs="Times New Roman"/>
          <w:sz w:val="28"/>
          <w:szCs w:val="28"/>
        </w:rPr>
        <w:t xml:space="preserve">161</w:t>
      </w:r>
      <w:r>
        <w:rPr>
          <w:rFonts w:ascii="Times New Roman" w:hAnsi="Times New Roman" w:cs="Times New Roman"/>
          <w:sz w:val="28"/>
          <w:szCs w:val="28"/>
        </w:rPr>
        <w:t xml:space="preserve"> человек, что на 20 человек больше за аналогичный период прошлого года.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комитет Республики Башкортостан по чрезвычайным ситуациям напоминает простые правила эксплуатации отопительных приборов.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эксплуатации печного отопления: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печи и их дымоходы тщательно проверьте, очистите от сажи и отремонтируйте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применяйте открытый огонь для отогревания замерзших труб отопления и водоснабжения, а также в чердачном и подвальном помещениях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позволяйте малолетним детям самостоятельный розжиг печей;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сгораемом полу напротив топливника печи имейте прибитый металлический лист размером 50х70 см, который должен быть свободным от дров и других горючих материалов;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располагайте близко к печи мебель, ковры - они могут загореться;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применяйте легковоспламеняющиеся и горючие жидкости для розжига печи;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удостоверение.</w:t>
      </w:r>
      <w:r/>
    </w:p>
    <w:p>
      <w:pPr>
        <w:contextualSpacing w:val="true"/>
        <w:ind w:hanging="0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эксплуатации отопительных электробытовых приборов: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электропроводку и электрооборудование необходимо содержать в исправном состоянии;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монтаж и ремонт производить только с помощью электромонтера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для защиты электросетей от короткого замыкания и перегрузок применяйте предохранители только заводского изготовления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электроприборы включайте в электросеть только при помощи штепсельных соединений заводского изготовления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электронагревательные приборы устанавливайте на несгораемые подставки и размещайте их подальше от мебели, ковров, штор и других сгораемых материалов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применяйте для обогрева помещений самодельные электрообогреватели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сушите одежду и другие сгораемые материалы над электронагревательными приборами;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оставляйте без присмотра включенные в электросеть электрические приборы;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эксплуатация электропроводки с поврежденной или ветхой изоляцией запрещена;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оставляйте детей без присмотра, не поручайте им надзор за включенными электроприборами, обогревательными приборами.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обнаружить </w:t>
      </w:r>
      <w:r>
        <w:rPr>
          <w:rFonts w:ascii="Times New Roman" w:hAnsi="Times New Roman" w:cs="Times New Roman"/>
          <w:sz w:val="28"/>
          <w:szCs w:val="28"/>
        </w:rPr>
        <w:t xml:space="preserve">возгорание</w:t>
      </w:r>
      <w:r>
        <w:rPr>
          <w:rFonts w:ascii="Times New Roman" w:hAnsi="Times New Roman" w:cs="Times New Roman"/>
          <w:sz w:val="28"/>
          <w:szCs w:val="28"/>
        </w:rPr>
        <w:t xml:space="preserve"> и тем самым предотвратить пожар, гибель людей и материальный ущерб можно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установив автономный пожарный </w:t>
      </w:r>
      <w:r>
        <w:rPr>
          <w:rFonts w:ascii="Times New Roman" w:hAnsi="Times New Roman" w:cs="Times New Roman"/>
          <w:sz w:val="28"/>
          <w:szCs w:val="28"/>
        </w:rPr>
        <w:t xml:space="preserve">извещатель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помощью чувствительных элементов реагирует на возникшее задымление и подает мощный звуковой сигнал.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за 4 года в республике благодаря пожарным </w:t>
      </w:r>
      <w:r>
        <w:rPr>
          <w:rFonts w:ascii="Times New Roman" w:hAnsi="Times New Roman" w:cs="Times New Roman"/>
          <w:sz w:val="28"/>
          <w:szCs w:val="28"/>
        </w:rPr>
        <w:t xml:space="preserve">извещателям</w:t>
      </w:r>
      <w:r>
        <w:rPr>
          <w:rFonts w:ascii="Times New Roman" w:hAnsi="Times New Roman" w:cs="Times New Roman"/>
          <w:sz w:val="28"/>
          <w:szCs w:val="28"/>
        </w:rPr>
        <w:t xml:space="preserve"> спасены жизни 631 человек, из них 243 ребенка.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Причины пожаров разные, а виновник один – человек, не выполняющий правила пожарной безопасности. Виновные в нарушении настоящих правил, в зависимости от характера нарушений и их последствий, несут ответственность в установленном законом порядке.</w:t>
      </w:r>
      <w:r/>
    </w:p>
    <w:p>
      <w:pPr>
        <w:contextualSpacing w:val="true"/>
        <w:ind w:firstLine="709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uto" w:line="240" w:after="100" w:afterAutospacing="1" w:before="100" w:before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Пожар легче пр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дотвратить, чем сожалеть о его последствиях!</w:t>
      </w:r>
      <w:r/>
    </w:p>
    <w:p>
      <w:pPr>
        <w:contextualSpacing w:val="true"/>
        <w:ind w:firstLine="709"/>
        <w:jc w:val="both"/>
        <w:spacing w:lineRule="auto" w:line="240" w:after="100" w:afterAutospacing="1" w:before="100" w:before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4"/>
        </w:rPr>
        <w:t xml:space="preserve">Автор:</w:t>
      </w:r>
      <w:r>
        <w:rPr>
          <w:rFonts w:ascii="Times New Roman" w:hAnsi="Times New Roman" w:cs="Times New Roman"/>
          <w:sz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Инструктор Центра службы профилактики пожаров</w:t>
      </w:r>
      <w:r>
        <w:rPr>
          <w:rFonts w:ascii="Times New Roman" w:hAnsi="Times New Roman" w:cs="Times New Roman"/>
          <w:sz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Противопожарной службы Госкомитета РБ по ЧС Юлия Макушева</w:t>
      </w:r>
      <w:r/>
      <w:r/>
    </w:p>
    <w:sectPr>
      <w:footnotePr/>
      <w:type w:val="nextPage"/>
      <w:pgSz w:w="11906" w:h="16838"/>
      <w:pgMar w:top="1134" w:right="850" w:bottom="1134" w:left="1701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160"/>
    <w:next w:val="16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16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160"/>
    <w:next w:val="16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16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60"/>
    <w:next w:val="16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60"/>
    <w:next w:val="16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60"/>
    <w:next w:val="16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60"/>
    <w:next w:val="16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60"/>
    <w:next w:val="16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60"/>
    <w:next w:val="16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60"/>
    <w:next w:val="16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6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160"/>
    <w:next w:val="16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161"/>
    <w:link w:val="32"/>
    <w:uiPriority w:val="10"/>
    <w:rPr>
      <w:sz w:val="48"/>
      <w:szCs w:val="48"/>
    </w:rPr>
  </w:style>
  <w:style w:type="paragraph" w:styleId="34">
    <w:name w:val="Subtitle"/>
    <w:basedOn w:val="160"/>
    <w:next w:val="16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161"/>
    <w:link w:val="34"/>
    <w:uiPriority w:val="11"/>
    <w:rPr>
      <w:sz w:val="24"/>
      <w:szCs w:val="24"/>
    </w:rPr>
  </w:style>
  <w:style w:type="paragraph" w:styleId="36">
    <w:name w:val="Quote"/>
    <w:basedOn w:val="160"/>
    <w:next w:val="16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60"/>
    <w:next w:val="16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6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61"/>
    <w:link w:val="40"/>
    <w:uiPriority w:val="99"/>
  </w:style>
  <w:style w:type="paragraph" w:styleId="42">
    <w:name w:val="Footer"/>
    <w:basedOn w:val="160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61"/>
    <w:link w:val="42"/>
    <w:uiPriority w:val="99"/>
  </w:style>
  <w:style w:type="table" w:styleId="44">
    <w:name w:val="Table Grid"/>
    <w:basedOn w:val="16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61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hanging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hanging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hanging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hanging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hanging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hanging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hanging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hanging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hanging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</w:style>
  <w:style w:type="character" w:styleId="161" w:default="1">
    <w:name w:val="Default Paragraph Font"/>
    <w:uiPriority w:val="1"/>
    <w:semiHidden/>
    <w:unhideWhenUsed/>
  </w:style>
  <w:style w:type="table" w:styleId="1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3" w:default="1">
    <w:name w:val="No List"/>
    <w:uiPriority w:val="99"/>
    <w:semiHidden/>
    <w:unhideWhenUsed/>
  </w:style>
  <w:style w:type="character" w:styleId="164">
    <w:name w:val="Hyperlink"/>
    <w:basedOn w:val="161"/>
    <w:uiPriority w:val="99"/>
    <w:semiHidden/>
    <w:unhideWhenUsed/>
    <w:rPr>
      <w:color w:val="0000FF"/>
      <w:u w:val="single"/>
    </w:rPr>
  </w:style>
  <w:style w:type="paragraph" w:styleId="165">
    <w:name w:val="Balloon Text"/>
    <w:basedOn w:val="160"/>
    <w:link w:val="166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166" w:customStyle="1">
    <w:name w:val="Текст выноски Знак"/>
    <w:basedOn w:val="161"/>
    <w:link w:val="16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